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E290" w14:textId="284452D2" w:rsidR="00867D46" w:rsidRPr="00FA7F3F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>W centrum uwagi. Wiedza o społeczeństwie. Zakres podstawowy.</w:t>
      </w:r>
    </w:p>
    <w:p w14:paraId="45328BFC" w14:textId="77777777" w:rsidR="002A0F0A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 xml:space="preserve">Treści nauczania WOS-u dla semestru trzeciego II klasy LO </w:t>
      </w:r>
    </w:p>
    <w:p w14:paraId="602A16E2" w14:textId="724B135B" w:rsidR="004D1D80" w:rsidRPr="00FA7F3F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>po szkole podstawowej.</w:t>
      </w:r>
    </w:p>
    <w:p w14:paraId="5A17F053" w14:textId="636B944A" w:rsidR="004D1D80" w:rsidRPr="00FA7F3F" w:rsidRDefault="004D1D80" w:rsidP="004D1D80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254"/>
        <w:gridCol w:w="6232"/>
      </w:tblGrid>
      <w:tr w:rsidR="00150A62" w:rsidRPr="00FA7F3F" w14:paraId="6BAB84B5" w14:textId="77777777" w:rsidTr="00FA7F3F">
        <w:tc>
          <w:tcPr>
            <w:tcW w:w="576" w:type="dxa"/>
          </w:tcPr>
          <w:p w14:paraId="0635FB6D" w14:textId="417133B4" w:rsidR="004D1D80" w:rsidRPr="00FA7F3F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Lp.</w:t>
            </w:r>
          </w:p>
        </w:tc>
        <w:tc>
          <w:tcPr>
            <w:tcW w:w="2254" w:type="dxa"/>
          </w:tcPr>
          <w:p w14:paraId="5FFB2FE8" w14:textId="2628DF71" w:rsidR="004D1D80" w:rsidRPr="00FA7F3F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TEMAT</w:t>
            </w:r>
          </w:p>
        </w:tc>
        <w:tc>
          <w:tcPr>
            <w:tcW w:w="6232" w:type="dxa"/>
          </w:tcPr>
          <w:p w14:paraId="4269B0AC" w14:textId="0E78C072" w:rsidR="004D1D80" w:rsidRPr="00FA7F3F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Zagadnienia</w:t>
            </w:r>
          </w:p>
        </w:tc>
      </w:tr>
      <w:tr w:rsidR="00150A62" w:rsidRPr="00FA7F3F" w14:paraId="753A8B27" w14:textId="77777777" w:rsidTr="00FA7F3F">
        <w:tc>
          <w:tcPr>
            <w:tcW w:w="576" w:type="dxa"/>
          </w:tcPr>
          <w:p w14:paraId="2E0F05DF" w14:textId="67E30A5E" w:rsidR="004D1D80" w:rsidRPr="00FA7F3F" w:rsidRDefault="004D1D80" w:rsidP="004D1D80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1</w:t>
            </w:r>
            <w:r w:rsidR="00626A5B" w:rsidRPr="00FA7F3F">
              <w:rPr>
                <w:rFonts w:ascii="Arial" w:hAnsi="Arial" w:cs="Arial"/>
              </w:rPr>
              <w:t>.</w:t>
            </w:r>
          </w:p>
        </w:tc>
        <w:tc>
          <w:tcPr>
            <w:tcW w:w="2254" w:type="dxa"/>
          </w:tcPr>
          <w:p w14:paraId="11610811" w14:textId="7CA7A8C6" w:rsidR="004D1D80" w:rsidRPr="00FA7F3F" w:rsidRDefault="00626A5B" w:rsidP="004D1D80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Normy prawne</w:t>
            </w:r>
          </w:p>
        </w:tc>
        <w:tc>
          <w:tcPr>
            <w:tcW w:w="6232" w:type="dxa"/>
          </w:tcPr>
          <w:p w14:paraId="4A1AB4C5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prawa i prawo</w:t>
            </w:r>
          </w:p>
          <w:p w14:paraId="7D95D011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normy społeczne a prawo</w:t>
            </w:r>
          </w:p>
          <w:p w14:paraId="775C0898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cechy i budowa norm prawnych</w:t>
            </w:r>
          </w:p>
          <w:p w14:paraId="20C2A921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akty prawne i przepisy</w:t>
            </w:r>
          </w:p>
          <w:p w14:paraId="66DF1ED8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podstawa prawna</w:t>
            </w:r>
          </w:p>
          <w:p w14:paraId="18AF25BA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A7F3F">
              <w:rPr>
                <w:rFonts w:ascii="Arial" w:hAnsi="Arial" w:cs="Arial"/>
              </w:rPr>
              <w:t>zasady powoływania się na podstawę prawną</w:t>
            </w:r>
          </w:p>
          <w:p w14:paraId="727B7AE2" w14:textId="77777777" w:rsidR="00626A5B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A7F3F">
              <w:rPr>
                <w:rFonts w:ascii="Arial" w:hAnsi="Arial" w:cs="Arial"/>
              </w:rPr>
              <w:t>interpretacja przepisów prawnych</w:t>
            </w:r>
          </w:p>
          <w:p w14:paraId="527F35AA" w14:textId="4A607BD5" w:rsidR="004D1D80" w:rsidRPr="00FA7F3F" w:rsidRDefault="00626A5B" w:rsidP="00626A5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A7F3F">
              <w:rPr>
                <w:rFonts w:ascii="Arial" w:hAnsi="Arial" w:cs="Arial"/>
              </w:rPr>
              <w:t>zasada „nieznajomość prawa szkodzi”</w:t>
            </w:r>
          </w:p>
        </w:tc>
      </w:tr>
      <w:tr w:rsidR="00150A62" w:rsidRPr="00FA7F3F" w14:paraId="5B672E1D" w14:textId="77777777" w:rsidTr="00FA7F3F">
        <w:tc>
          <w:tcPr>
            <w:tcW w:w="576" w:type="dxa"/>
          </w:tcPr>
          <w:p w14:paraId="61F9538C" w14:textId="1A8A5808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2.</w:t>
            </w:r>
          </w:p>
        </w:tc>
        <w:tc>
          <w:tcPr>
            <w:tcW w:w="2254" w:type="dxa"/>
          </w:tcPr>
          <w:p w14:paraId="35070FC8" w14:textId="7D9F2EC0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 xml:space="preserve">Źródła prawa </w:t>
            </w:r>
          </w:p>
        </w:tc>
        <w:tc>
          <w:tcPr>
            <w:tcW w:w="6232" w:type="dxa"/>
          </w:tcPr>
          <w:p w14:paraId="4B917B93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podmioty stanowiące prawo</w:t>
            </w:r>
          </w:p>
          <w:p w14:paraId="273EA5AC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zasięg obowiązywania prawa</w:t>
            </w:r>
          </w:p>
          <w:p w14:paraId="29668736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podmioty podlegające prawu</w:t>
            </w:r>
          </w:p>
          <w:p w14:paraId="5D5DE048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źródła prawa stanowionego w Polsce</w:t>
            </w:r>
          </w:p>
          <w:p w14:paraId="757216CD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hierarchia źródeł prawa w Polsce</w:t>
            </w:r>
          </w:p>
          <w:p w14:paraId="34E19ED9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procedura ustawodawcza</w:t>
            </w:r>
          </w:p>
          <w:p w14:paraId="4E97C5B8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dzienniki urzędowe</w:t>
            </w:r>
          </w:p>
          <w:p w14:paraId="1FE66502" w14:textId="77777777" w:rsidR="00FB2BC6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A7F3F">
              <w:rPr>
                <w:rFonts w:ascii="Arial" w:hAnsi="Arial" w:cs="Arial"/>
              </w:rPr>
              <w:t>okres obowiązywania</w:t>
            </w:r>
            <w:r w:rsidRPr="00FA7F3F">
              <w:rPr>
                <w:rFonts w:ascii="Arial" w:hAnsi="Arial" w:cs="Arial"/>
                <w:b/>
              </w:rPr>
              <w:t xml:space="preserve"> </w:t>
            </w:r>
            <w:r w:rsidRPr="00FA7F3F">
              <w:rPr>
                <w:rFonts w:ascii="Arial" w:hAnsi="Arial" w:cs="Arial"/>
              </w:rPr>
              <w:t>prawa</w:t>
            </w:r>
          </w:p>
          <w:p w14:paraId="6AF5310A" w14:textId="60545FA7" w:rsidR="00626A5B" w:rsidRPr="00FA7F3F" w:rsidRDefault="00FB2BC6" w:rsidP="00FB2BC6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FA7F3F">
              <w:rPr>
                <w:rFonts w:ascii="Arial" w:hAnsi="Arial" w:cs="Arial"/>
              </w:rPr>
              <w:t>zasada „prawo nie działa wstecz</w:t>
            </w:r>
            <w:r w:rsidRPr="00FA7F3F">
              <w:rPr>
                <w:rFonts w:ascii="Arial" w:hAnsi="Arial" w:cs="Arial"/>
                <w:b/>
              </w:rPr>
              <w:t>”</w:t>
            </w:r>
          </w:p>
        </w:tc>
      </w:tr>
      <w:tr w:rsidR="00150A62" w:rsidRPr="00FA7F3F" w14:paraId="4B078653" w14:textId="77777777" w:rsidTr="00FA7F3F">
        <w:tc>
          <w:tcPr>
            <w:tcW w:w="576" w:type="dxa"/>
          </w:tcPr>
          <w:p w14:paraId="2060F484" w14:textId="2241D77F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3.</w:t>
            </w:r>
          </w:p>
        </w:tc>
        <w:tc>
          <w:tcPr>
            <w:tcW w:w="2254" w:type="dxa"/>
          </w:tcPr>
          <w:p w14:paraId="42912799" w14:textId="26170B2F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Pomoc prawna</w:t>
            </w:r>
          </w:p>
        </w:tc>
        <w:tc>
          <w:tcPr>
            <w:tcW w:w="6232" w:type="dxa"/>
          </w:tcPr>
          <w:p w14:paraId="1F58FD24" w14:textId="234C8AA7" w:rsidR="00FB2BC6" w:rsidRPr="008C15A0" w:rsidRDefault="008C15A0" w:rsidP="008C15A0">
            <w:pPr>
              <w:pStyle w:val="Akapitzlist"/>
              <w:numPr>
                <w:ilvl w:val="0"/>
                <w:numId w:val="12"/>
              </w:numPr>
              <w:ind w:left="321" w:hanging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2BC6" w:rsidRPr="008C15A0">
              <w:rPr>
                <w:rFonts w:ascii="Arial" w:hAnsi="Arial" w:cs="Arial"/>
              </w:rPr>
              <w:t>rodzaje prawa</w:t>
            </w:r>
          </w:p>
          <w:p w14:paraId="33F414AA" w14:textId="77777777" w:rsidR="00FB2BC6" w:rsidRPr="00FA7F3F" w:rsidRDefault="00FB2BC6" w:rsidP="00FB2BC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formy udzielania pomocy prawnej</w:t>
            </w:r>
          </w:p>
          <w:p w14:paraId="78561F49" w14:textId="77777777" w:rsidR="00FB2BC6" w:rsidRPr="00FA7F3F" w:rsidRDefault="00FB2BC6" w:rsidP="00FB2BC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instytucje udzielające pomocy prawnej</w:t>
            </w:r>
          </w:p>
          <w:p w14:paraId="55A8E289" w14:textId="0AF872BB" w:rsidR="00626A5B" w:rsidRPr="00FA7F3F" w:rsidRDefault="00FB2BC6" w:rsidP="00FB2BC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zawody prawnicze</w:t>
            </w:r>
          </w:p>
        </w:tc>
      </w:tr>
      <w:tr w:rsidR="00150A62" w:rsidRPr="00FA7F3F" w14:paraId="79844AD2" w14:textId="77777777" w:rsidTr="00FA7F3F">
        <w:tc>
          <w:tcPr>
            <w:tcW w:w="576" w:type="dxa"/>
          </w:tcPr>
          <w:p w14:paraId="7AB8EED9" w14:textId="1AED5C41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4.</w:t>
            </w:r>
          </w:p>
        </w:tc>
        <w:tc>
          <w:tcPr>
            <w:tcW w:w="2254" w:type="dxa"/>
          </w:tcPr>
          <w:p w14:paraId="23AFECBA" w14:textId="2235120E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Informacja publiczna</w:t>
            </w:r>
          </w:p>
        </w:tc>
        <w:tc>
          <w:tcPr>
            <w:tcW w:w="6232" w:type="dxa"/>
          </w:tcPr>
          <w:p w14:paraId="5FBEB227" w14:textId="60A1925B" w:rsidR="00FB2BC6" w:rsidRPr="008C15A0" w:rsidRDefault="008C15A0" w:rsidP="008C15A0">
            <w:pPr>
              <w:pStyle w:val="Akapitzlist"/>
              <w:numPr>
                <w:ilvl w:val="0"/>
                <w:numId w:val="13"/>
              </w:numPr>
              <w:ind w:left="321" w:hanging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2BC6" w:rsidRPr="008C15A0">
              <w:rPr>
                <w:rFonts w:ascii="Arial" w:hAnsi="Arial" w:cs="Arial"/>
              </w:rPr>
              <w:t>prawo do informacji</w:t>
            </w:r>
          </w:p>
          <w:p w14:paraId="31C5709D" w14:textId="77777777" w:rsidR="00FB2BC6" w:rsidRPr="00FA7F3F" w:rsidRDefault="00FB2BC6" w:rsidP="00FB2BC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informacja publiczna</w:t>
            </w:r>
          </w:p>
          <w:p w14:paraId="7E7E06D5" w14:textId="77777777" w:rsidR="00FB2BC6" w:rsidRPr="00FA7F3F" w:rsidRDefault="00FB2BC6" w:rsidP="00FB2BC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sposoby uzyskiwania informacji publicznej</w:t>
            </w:r>
          </w:p>
          <w:p w14:paraId="347F03EC" w14:textId="77777777" w:rsidR="00FB2BC6" w:rsidRPr="00FA7F3F" w:rsidRDefault="00FB2BC6" w:rsidP="00FB2BC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Biuletyn Informacji Publicznej</w:t>
            </w:r>
          </w:p>
          <w:p w14:paraId="2F1952A5" w14:textId="577B692F" w:rsidR="00626A5B" w:rsidRPr="00FA7F3F" w:rsidRDefault="00FB2BC6" w:rsidP="00FB2BC6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wniosek o udostępnienie informacji publicznej</w:t>
            </w:r>
          </w:p>
        </w:tc>
      </w:tr>
      <w:tr w:rsidR="00150A62" w:rsidRPr="00FA7F3F" w14:paraId="5571E883" w14:textId="77777777" w:rsidTr="00FA7F3F">
        <w:tc>
          <w:tcPr>
            <w:tcW w:w="576" w:type="dxa"/>
          </w:tcPr>
          <w:p w14:paraId="6337540C" w14:textId="4EC4B051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5.</w:t>
            </w:r>
          </w:p>
        </w:tc>
        <w:tc>
          <w:tcPr>
            <w:tcW w:w="2254" w:type="dxa"/>
          </w:tcPr>
          <w:p w14:paraId="5CA030A4" w14:textId="06CEC527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Konstytucyjne prawa człowieka</w:t>
            </w:r>
          </w:p>
        </w:tc>
        <w:tc>
          <w:tcPr>
            <w:tcW w:w="6232" w:type="dxa"/>
          </w:tcPr>
          <w:p w14:paraId="640BA952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prawa i wolności</w:t>
            </w:r>
          </w:p>
          <w:p w14:paraId="2E6B96DE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istota i cechy praw człowieka</w:t>
            </w:r>
          </w:p>
          <w:p w14:paraId="70878196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granice praw człowieka</w:t>
            </w:r>
          </w:p>
          <w:p w14:paraId="19834783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warunki dopuszczalnego ograniczania praw człowieka</w:t>
            </w:r>
          </w:p>
          <w:p w14:paraId="5C5B3558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koncepcja praw jednostki</w:t>
            </w:r>
          </w:p>
          <w:p w14:paraId="321A591F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i/>
              </w:rPr>
            </w:pPr>
            <w:r w:rsidRPr="00FA7F3F">
              <w:rPr>
                <w:rFonts w:ascii="Arial" w:hAnsi="Arial" w:cs="Arial"/>
              </w:rPr>
              <w:t>miejsce praw człowieka w </w:t>
            </w:r>
            <w:r w:rsidRPr="00FA7F3F">
              <w:rPr>
                <w:rFonts w:ascii="Arial" w:hAnsi="Arial" w:cs="Arial"/>
                <w:i/>
              </w:rPr>
              <w:t>Konstytucji RP</w:t>
            </w:r>
          </w:p>
          <w:p w14:paraId="33B71874" w14:textId="77777777" w:rsidR="00FB2BC6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zasady ogólne i katalog praw człowieka w </w:t>
            </w:r>
            <w:r w:rsidRPr="00FA7F3F">
              <w:rPr>
                <w:rFonts w:ascii="Arial" w:hAnsi="Arial" w:cs="Arial"/>
                <w:i/>
              </w:rPr>
              <w:t>Konstytucji RP</w:t>
            </w:r>
          </w:p>
          <w:p w14:paraId="0876ED15" w14:textId="23C76695" w:rsidR="00626A5B" w:rsidRPr="00FA7F3F" w:rsidRDefault="00FB2BC6" w:rsidP="00FB2BC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zasady i formy ochrony praw mniejszości narodowych i etnicznych oraz grup posługujących się językiem regionalnym</w:t>
            </w:r>
          </w:p>
        </w:tc>
      </w:tr>
      <w:tr w:rsidR="00150A62" w:rsidRPr="00FA7F3F" w14:paraId="43382482" w14:textId="77777777" w:rsidTr="00FA7F3F">
        <w:tc>
          <w:tcPr>
            <w:tcW w:w="576" w:type="dxa"/>
          </w:tcPr>
          <w:p w14:paraId="0DF1D80A" w14:textId="07E61211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6.</w:t>
            </w:r>
          </w:p>
        </w:tc>
        <w:tc>
          <w:tcPr>
            <w:tcW w:w="2254" w:type="dxa"/>
          </w:tcPr>
          <w:p w14:paraId="11F9A112" w14:textId="78389C5F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Ochrona praw człowieka w Polsce</w:t>
            </w:r>
          </w:p>
        </w:tc>
        <w:tc>
          <w:tcPr>
            <w:tcW w:w="6232" w:type="dxa"/>
          </w:tcPr>
          <w:p w14:paraId="2D3C662B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środki ochrony konstytucyjnych praw i wolności</w:t>
            </w:r>
          </w:p>
          <w:p w14:paraId="01284A7B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instytucje i organy władzy chroniące konstytucyjne prawa i wolności</w:t>
            </w:r>
          </w:p>
          <w:p w14:paraId="01BDEF69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do sądu</w:t>
            </w:r>
          </w:p>
          <w:p w14:paraId="6E962E63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do zaskarżenia</w:t>
            </w:r>
          </w:p>
          <w:p w14:paraId="127E8DDB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do wynagrodzenia za szkodę</w:t>
            </w:r>
          </w:p>
          <w:p w14:paraId="1C14B57F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lastRenderedPageBreak/>
              <w:t>skarga konstytucyjna</w:t>
            </w:r>
          </w:p>
          <w:p w14:paraId="61837FAF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do wystąpienia do Rzecznika Praw Obywatelskich</w:t>
            </w:r>
          </w:p>
          <w:p w14:paraId="67BEE196" w14:textId="77777777" w:rsidR="00FB2BC6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działalność Rzecznika Praw Obywatelskich</w:t>
            </w:r>
          </w:p>
          <w:p w14:paraId="30A4F42D" w14:textId="5C3E93F4" w:rsidR="00626A5B" w:rsidRPr="00FA7F3F" w:rsidRDefault="00FB2BC6" w:rsidP="00FB2BC6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organizacje broniące praw człowieka w Polsce</w:t>
            </w:r>
          </w:p>
        </w:tc>
      </w:tr>
      <w:tr w:rsidR="00150A62" w:rsidRPr="00FA7F3F" w14:paraId="10EAE949" w14:textId="77777777" w:rsidTr="00FA7F3F">
        <w:tc>
          <w:tcPr>
            <w:tcW w:w="576" w:type="dxa"/>
          </w:tcPr>
          <w:p w14:paraId="5BDD77FA" w14:textId="316D8C87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254" w:type="dxa"/>
          </w:tcPr>
          <w:p w14:paraId="5A50891C" w14:textId="0997F5A0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System strasburski</w:t>
            </w:r>
          </w:p>
        </w:tc>
        <w:tc>
          <w:tcPr>
            <w:tcW w:w="6232" w:type="dxa"/>
          </w:tcPr>
          <w:p w14:paraId="3D32DC3E" w14:textId="77777777" w:rsidR="00FB2BC6" w:rsidRPr="00FA7F3F" w:rsidRDefault="00FB2BC6" w:rsidP="00FB2BC6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systemy ochrony praw człowieka</w:t>
            </w:r>
          </w:p>
          <w:p w14:paraId="633800A0" w14:textId="77777777" w:rsidR="00FB2BC6" w:rsidRPr="00FA7F3F" w:rsidRDefault="00FB2BC6" w:rsidP="00FB2BC6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Europejski Trybunał Praw Człowieka w Strasburgu</w:t>
            </w:r>
          </w:p>
          <w:p w14:paraId="767CEC9D" w14:textId="77777777" w:rsidR="00FB2BC6" w:rsidRPr="00FA7F3F" w:rsidRDefault="00FB2BC6" w:rsidP="00FB2BC6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Rada Europy</w:t>
            </w:r>
          </w:p>
          <w:p w14:paraId="2343D6B7" w14:textId="77777777" w:rsidR="00FB2BC6" w:rsidRPr="00FA7F3F" w:rsidRDefault="00FB2BC6" w:rsidP="00FB2BC6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i/>
              </w:rPr>
            </w:pPr>
            <w:r w:rsidRPr="00FA7F3F">
              <w:rPr>
                <w:rFonts w:ascii="Arial" w:hAnsi="Arial" w:cs="Arial"/>
                <w:i/>
              </w:rPr>
              <w:t>Konwencja o ochronie praw człowieka i podstawowych wolności</w:t>
            </w:r>
          </w:p>
          <w:p w14:paraId="5EA8E876" w14:textId="7246DAC6" w:rsidR="00626A5B" w:rsidRPr="00FA7F3F" w:rsidRDefault="00FB2BC6" w:rsidP="00FB2BC6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i/>
              </w:rPr>
            </w:pPr>
            <w:r w:rsidRPr="00FA7F3F">
              <w:rPr>
                <w:rFonts w:ascii="Arial" w:hAnsi="Arial" w:cs="Arial"/>
              </w:rPr>
              <w:t>zasady składania skargi do Europejskiego Trybunału Praw Człowieka w Strasburgu</w:t>
            </w:r>
          </w:p>
        </w:tc>
      </w:tr>
      <w:tr w:rsidR="00150A62" w:rsidRPr="00FA7F3F" w14:paraId="5135767F" w14:textId="77777777" w:rsidTr="00FA7F3F">
        <w:tc>
          <w:tcPr>
            <w:tcW w:w="576" w:type="dxa"/>
          </w:tcPr>
          <w:p w14:paraId="1F045702" w14:textId="02AC5E3A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8.</w:t>
            </w:r>
          </w:p>
        </w:tc>
        <w:tc>
          <w:tcPr>
            <w:tcW w:w="2254" w:type="dxa"/>
          </w:tcPr>
          <w:p w14:paraId="048AB821" w14:textId="08F2A4C0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Łamanie praw człowieka</w:t>
            </w:r>
          </w:p>
        </w:tc>
        <w:tc>
          <w:tcPr>
            <w:tcW w:w="6232" w:type="dxa"/>
          </w:tcPr>
          <w:p w14:paraId="15CC8754" w14:textId="77777777" w:rsidR="00FB2BC6" w:rsidRPr="00FA7F3F" w:rsidRDefault="00FB2BC6" w:rsidP="00FB2BC6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formy łamania praw człowieka</w:t>
            </w:r>
          </w:p>
          <w:p w14:paraId="6270700A" w14:textId="77777777" w:rsidR="00FB2BC6" w:rsidRPr="00FA7F3F" w:rsidRDefault="00FB2BC6" w:rsidP="00FB2BC6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przyczyny łamania praw człowieka</w:t>
            </w:r>
          </w:p>
          <w:p w14:paraId="0E871743" w14:textId="77777777" w:rsidR="00FB2BC6" w:rsidRPr="00FA7F3F" w:rsidRDefault="00FB2BC6" w:rsidP="00FB2BC6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wybitni obrońcy praw człowieka</w:t>
            </w:r>
          </w:p>
          <w:p w14:paraId="7F583040" w14:textId="77777777" w:rsidR="00FB2BC6" w:rsidRPr="00FA7F3F" w:rsidRDefault="00FB2BC6" w:rsidP="00FB2BC6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naruszanie praw imigrantów</w:t>
            </w:r>
          </w:p>
          <w:p w14:paraId="58C679A4" w14:textId="012B90A1" w:rsidR="00626A5B" w:rsidRPr="00FA7F3F" w:rsidRDefault="00FB2BC6" w:rsidP="00FB2BC6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skala łamania praw człowieka na świecie</w:t>
            </w:r>
          </w:p>
        </w:tc>
      </w:tr>
      <w:tr w:rsidR="00150A62" w:rsidRPr="00FA7F3F" w14:paraId="62C42BF1" w14:textId="77777777" w:rsidTr="00FA7F3F">
        <w:tc>
          <w:tcPr>
            <w:tcW w:w="576" w:type="dxa"/>
          </w:tcPr>
          <w:p w14:paraId="0B0FD1E3" w14:textId="19C04274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9.</w:t>
            </w:r>
          </w:p>
        </w:tc>
        <w:tc>
          <w:tcPr>
            <w:tcW w:w="2254" w:type="dxa"/>
          </w:tcPr>
          <w:p w14:paraId="78F3AC95" w14:textId="69CF9B4D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cywilne</w:t>
            </w:r>
          </w:p>
        </w:tc>
        <w:tc>
          <w:tcPr>
            <w:tcW w:w="6232" w:type="dxa"/>
          </w:tcPr>
          <w:p w14:paraId="3D6C6EF1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cechy charakterystyczne prawa cywilnego</w:t>
            </w:r>
          </w:p>
          <w:p w14:paraId="03E8EA19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prawa majątkowe i osobiste</w:t>
            </w:r>
          </w:p>
          <w:p w14:paraId="19696CB1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podział prawa cywilnego w Polsce</w:t>
            </w:r>
          </w:p>
          <w:p w14:paraId="7C7B9132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pojęcia z zakresu prawa cywilnego: „osoba fizyczna”, „zdolność prawna”, „zdolność do czynności prawnych”, „przedstawicielstwo”, „pełnomocnictwo”</w:t>
            </w:r>
          </w:p>
          <w:p w14:paraId="2B7E35A2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zobowiązaniowe</w:t>
            </w:r>
          </w:p>
          <w:p w14:paraId="23DC551B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 xml:space="preserve">prawo rzeczowe </w:t>
            </w:r>
          </w:p>
          <w:p w14:paraId="21D67776" w14:textId="77777777" w:rsidR="00FB2BC6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 xml:space="preserve">prawo spadkowe </w:t>
            </w:r>
          </w:p>
          <w:p w14:paraId="3730B608" w14:textId="2AA1F23A" w:rsidR="00626A5B" w:rsidRPr="00FA7F3F" w:rsidRDefault="00FB2BC6" w:rsidP="00FB2BC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postępowanie cywilne</w:t>
            </w:r>
          </w:p>
        </w:tc>
      </w:tr>
      <w:tr w:rsidR="00150A62" w:rsidRPr="00FA7F3F" w14:paraId="391B8389" w14:textId="77777777" w:rsidTr="00FA7F3F">
        <w:tc>
          <w:tcPr>
            <w:tcW w:w="576" w:type="dxa"/>
          </w:tcPr>
          <w:p w14:paraId="1AD6B0FE" w14:textId="040A2CAF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10.</w:t>
            </w:r>
          </w:p>
        </w:tc>
        <w:tc>
          <w:tcPr>
            <w:tcW w:w="2254" w:type="dxa"/>
          </w:tcPr>
          <w:p w14:paraId="3950BE17" w14:textId="041792BA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rodzinne</w:t>
            </w:r>
          </w:p>
        </w:tc>
        <w:tc>
          <w:tcPr>
            <w:tcW w:w="6232" w:type="dxa"/>
          </w:tcPr>
          <w:p w14:paraId="6974B88F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małżeństwo</w:t>
            </w:r>
          </w:p>
          <w:p w14:paraId="3DD9475A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zasady zawierania związku małżeńskiego</w:t>
            </w:r>
          </w:p>
          <w:p w14:paraId="539315C5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prawne przeszkody uniemożliwiające zawarcie małżeństwa</w:t>
            </w:r>
          </w:p>
          <w:p w14:paraId="4CB70ABF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skutki zawarcia małżeństwa</w:t>
            </w:r>
          </w:p>
          <w:p w14:paraId="2524159C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wspólność majątkowa</w:t>
            </w:r>
          </w:p>
          <w:p w14:paraId="745DBB70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prawa rodziców i dzieci</w:t>
            </w:r>
          </w:p>
          <w:p w14:paraId="707C5636" w14:textId="77777777" w:rsidR="00FB2BC6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władza rodzicielska</w:t>
            </w:r>
          </w:p>
          <w:p w14:paraId="69994C93" w14:textId="3A372467" w:rsidR="00626A5B" w:rsidRPr="00FA7F3F" w:rsidRDefault="00FB2BC6" w:rsidP="00FB2BC6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obowiązek alimentacyjny</w:t>
            </w:r>
          </w:p>
        </w:tc>
      </w:tr>
      <w:tr w:rsidR="00150A62" w:rsidRPr="00FA7F3F" w14:paraId="12B30B2F" w14:textId="77777777" w:rsidTr="00FA7F3F">
        <w:tc>
          <w:tcPr>
            <w:tcW w:w="576" w:type="dxa"/>
          </w:tcPr>
          <w:p w14:paraId="6F91FA54" w14:textId="0AABDE01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11.</w:t>
            </w:r>
          </w:p>
        </w:tc>
        <w:tc>
          <w:tcPr>
            <w:tcW w:w="2254" w:type="dxa"/>
          </w:tcPr>
          <w:p w14:paraId="4E3D675E" w14:textId="46107E44" w:rsidR="00626A5B" w:rsidRPr="00FA7F3F" w:rsidRDefault="00FB2BC6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Postępowanie karne</w:t>
            </w:r>
          </w:p>
        </w:tc>
        <w:tc>
          <w:tcPr>
            <w:tcW w:w="6232" w:type="dxa"/>
          </w:tcPr>
          <w:p w14:paraId="2E01795E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zasady prawa karnego</w:t>
            </w:r>
          </w:p>
          <w:p w14:paraId="0999D64E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etapy postępowania karnego</w:t>
            </w:r>
          </w:p>
          <w:p w14:paraId="5E9F01CD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uczestnicy postępowania karnego</w:t>
            </w:r>
          </w:p>
          <w:p w14:paraId="24B36EEC" w14:textId="502CB816" w:rsidR="00626A5B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rozprawa w procesie karnym</w:t>
            </w:r>
          </w:p>
        </w:tc>
      </w:tr>
      <w:tr w:rsidR="00150A62" w:rsidRPr="00FA7F3F" w14:paraId="5D764228" w14:textId="77777777" w:rsidTr="00FA7F3F">
        <w:tc>
          <w:tcPr>
            <w:tcW w:w="576" w:type="dxa"/>
          </w:tcPr>
          <w:p w14:paraId="79C0CD6E" w14:textId="422DBC1F" w:rsidR="00626A5B" w:rsidRPr="00FA7F3F" w:rsidRDefault="00626A5B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12.</w:t>
            </w:r>
          </w:p>
        </w:tc>
        <w:tc>
          <w:tcPr>
            <w:tcW w:w="2254" w:type="dxa"/>
          </w:tcPr>
          <w:p w14:paraId="74960079" w14:textId="6BB70CF1" w:rsidR="00626A5B" w:rsidRPr="00FA7F3F" w:rsidRDefault="00FB2BC6" w:rsidP="00626A5B">
            <w:pPr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Prawo administracyjne</w:t>
            </w:r>
          </w:p>
        </w:tc>
        <w:tc>
          <w:tcPr>
            <w:tcW w:w="6232" w:type="dxa"/>
          </w:tcPr>
          <w:p w14:paraId="2B7CB2AB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cechy charakterystyczne prawa administracyjnego</w:t>
            </w:r>
          </w:p>
          <w:p w14:paraId="69DF12E0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pojęcia z zakresu prawa administracyjnego</w:t>
            </w:r>
          </w:p>
          <w:p w14:paraId="2DE40387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administracja publiczna</w:t>
            </w:r>
          </w:p>
          <w:p w14:paraId="1F6817F4" w14:textId="77777777" w:rsidR="00FB2BC6" w:rsidRPr="00FA7F3F" w:rsidRDefault="00FB2BC6" w:rsidP="00FB2BC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akty, decyzje i postanowienia administracyjne</w:t>
            </w:r>
          </w:p>
          <w:p w14:paraId="499BFDFC" w14:textId="77777777" w:rsidR="00150A62" w:rsidRPr="00FA7F3F" w:rsidRDefault="00FB2BC6" w:rsidP="00150A6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postępowanie administracyjne</w:t>
            </w:r>
          </w:p>
          <w:p w14:paraId="399D2A8D" w14:textId="006B9946" w:rsidR="00626A5B" w:rsidRPr="00FA7F3F" w:rsidRDefault="00FB2BC6" w:rsidP="00150A6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FA7F3F">
              <w:rPr>
                <w:rFonts w:ascii="Arial" w:hAnsi="Arial" w:cs="Arial"/>
              </w:rPr>
              <w:t>skarga administracyjna</w:t>
            </w:r>
          </w:p>
        </w:tc>
      </w:tr>
    </w:tbl>
    <w:p w14:paraId="3124C98E" w14:textId="5B405B6B" w:rsidR="004D1D80" w:rsidRDefault="004D1D80" w:rsidP="004D1D80">
      <w:pPr>
        <w:spacing w:after="0"/>
        <w:rPr>
          <w:rFonts w:ascii="Arial" w:hAnsi="Arial" w:cs="Arial"/>
          <w:b/>
          <w:bCs/>
        </w:rPr>
      </w:pPr>
    </w:p>
    <w:p w14:paraId="1134196C" w14:textId="77777777" w:rsidR="006A0ED6" w:rsidRDefault="006A0ED6" w:rsidP="001A0CEB">
      <w:pPr>
        <w:spacing w:after="0"/>
        <w:rPr>
          <w:rFonts w:ascii="Arial" w:hAnsi="Arial" w:cs="Arial"/>
        </w:rPr>
      </w:pPr>
    </w:p>
    <w:p w14:paraId="4F0009C3" w14:textId="634663AC" w:rsidR="001A0CEB" w:rsidRPr="001A0CEB" w:rsidRDefault="001A0CEB" w:rsidP="005629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Nowa Era Sp. z o.o.</w:t>
      </w:r>
    </w:p>
    <w:sectPr w:rsidR="001A0CEB" w:rsidRPr="001A0CEB" w:rsidSect="00FA7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83F87"/>
    <w:multiLevelType w:val="hybridMultilevel"/>
    <w:tmpl w:val="D64CC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623B9"/>
    <w:multiLevelType w:val="hybridMultilevel"/>
    <w:tmpl w:val="2D465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A73C6"/>
    <w:multiLevelType w:val="hybridMultilevel"/>
    <w:tmpl w:val="805CA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181776">
    <w:abstractNumId w:val="2"/>
  </w:num>
  <w:num w:numId="2" w16cid:durableId="2121098546">
    <w:abstractNumId w:val="4"/>
  </w:num>
  <w:num w:numId="3" w16cid:durableId="955677270">
    <w:abstractNumId w:val="9"/>
  </w:num>
  <w:num w:numId="4" w16cid:durableId="367146020">
    <w:abstractNumId w:val="3"/>
  </w:num>
  <w:num w:numId="5" w16cid:durableId="1422294265">
    <w:abstractNumId w:val="0"/>
  </w:num>
  <w:num w:numId="6" w16cid:durableId="755323836">
    <w:abstractNumId w:val="12"/>
  </w:num>
  <w:num w:numId="7" w16cid:durableId="371464016">
    <w:abstractNumId w:val="8"/>
  </w:num>
  <w:num w:numId="8" w16cid:durableId="1007368304">
    <w:abstractNumId w:val="10"/>
  </w:num>
  <w:num w:numId="9" w16cid:durableId="43994260">
    <w:abstractNumId w:val="6"/>
  </w:num>
  <w:num w:numId="10" w16cid:durableId="1514301158">
    <w:abstractNumId w:val="5"/>
  </w:num>
  <w:num w:numId="11" w16cid:durableId="1629045950">
    <w:abstractNumId w:val="1"/>
  </w:num>
  <w:num w:numId="12" w16cid:durableId="977609697">
    <w:abstractNumId w:val="7"/>
  </w:num>
  <w:num w:numId="13" w16cid:durableId="1419325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7C"/>
    <w:rsid w:val="00150A62"/>
    <w:rsid w:val="001A0CEB"/>
    <w:rsid w:val="002A0F0A"/>
    <w:rsid w:val="004D1D80"/>
    <w:rsid w:val="0056297B"/>
    <w:rsid w:val="00626A5B"/>
    <w:rsid w:val="006A0ED6"/>
    <w:rsid w:val="00867D46"/>
    <w:rsid w:val="008C15A0"/>
    <w:rsid w:val="0094207C"/>
    <w:rsid w:val="00FA7F3F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2FBB"/>
  <w15:chartTrackingRefBased/>
  <w15:docId w15:val="{E94102D3-4B53-448D-A5D4-6D62257F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Małkowska</dc:creator>
  <cp:keywords/>
  <dc:description/>
  <cp:lastModifiedBy>Iwona Małkowska</cp:lastModifiedBy>
  <cp:revision>8</cp:revision>
  <dcterms:created xsi:type="dcterms:W3CDTF">2022-09-06T09:26:00Z</dcterms:created>
  <dcterms:modified xsi:type="dcterms:W3CDTF">2022-10-17T20:27:00Z</dcterms:modified>
</cp:coreProperties>
</file>